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color w:val="D4471A"/>
          <w:sz w:val="24"/>
        </w:rPr>
        <w:t>省エネ補助金(省エネルギー投資促進)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公式サイト:https://sii.or.jp/</w:t>
      </w:r>
    </w:p>
    <w:p>
      <w:r>
        <w:rPr>
          <w:rFonts w:ascii="Yu Gothic" w:hAnsi="Yu Gothic" w:eastAsia="Yu Gothic"/>
          <w:i/>
          <w:color w:val="808080"/>
          <w:sz w:val="18"/>
        </w:rPr>
        <w:t>作成日:[      年   月   日]   /   作成者:[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投資対効果(省エネ量あたりの補助額)と費用対効果が重視されます。</w:t>
      </w:r>
    </w:p>
    <w:p>
      <w:pPr>
        <w:pStyle w:val="ListBullet"/>
      </w:pPr>
      <w:r>
        <w:rPr>
          <w:rFonts w:ascii="Yu Gothic" w:hAnsi="Yu Gothic" w:eastAsia="Yu Gothic"/>
        </w:rPr>
        <w:t>既存設備から省エネ性能の高い設備への更新が中心(新規増設は対象外の場合あり)</w:t>
      </w:r>
    </w:p>
    <w:p>
      <w:pPr>
        <w:pStyle w:val="ListBullet"/>
      </w:pPr>
      <w:r>
        <w:rPr>
          <w:rFonts w:ascii="Yu Gothic" w:hAnsi="Yu Gothic" w:eastAsia="Yu Gothic"/>
        </w:rPr>
        <w:t>省エネ効果(エネルギー削減量・削減率)を定量的に示せること</w:t>
      </w:r>
    </w:p>
    <w:p>
      <w:pPr>
        <w:pStyle w:val="ListBullet"/>
      </w:pPr>
      <w:r>
        <w:rPr>
          <w:rFonts w:ascii="Yu Gothic" w:hAnsi="Yu Gothic" w:eastAsia="Yu Gothic"/>
        </w:rPr>
        <w:t>事業区分により補助率が異なる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例:「高効率レーザー発振器への設備更新による消費電力の削減」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事業の背景・現状の課題</w:t>
      </w:r>
    </w:p>
    <w:p>
      <w:r>
        <w:rPr>
          <w:rFonts w:ascii="Yu Gothic" w:hAnsi="Yu Gothic" w:eastAsia="Yu Gothic"/>
          <w:i/>
          <w:color w:val="808080"/>
          <w:sz w:val="18"/>
        </w:rPr>
        <w:t>例:外注依存・設備老朽化・短納期対応の困難・人手不足 など、解決したい課題を具体的に。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導入するレーザー加工機で「何を」「どう変えるか」を具体的に(加工対象・工程・体制の変化)。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導入する設備の詳細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</w:t>
      </w:r>
    </w:p>
    <w:p>
      <w:r>
        <w:rPr>
          <w:rFonts w:ascii="Yu Gothic" w:hAnsi="Yu Gothic" w:eastAsia="Yu Gothic"/>
          <w:i/>
          <w:color w:val="808080"/>
          <w:sz w:val="18"/>
        </w:rPr>
        <w:t>生産性向上・コスト削減・新規受注・付加価値向上など。可能な限り数値で。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数値計画</w:t>
      </w:r>
    </w:p>
    <w:p>
      <w:r>
        <w:rPr>
          <w:rFonts w:ascii="Yu Gothic" w:hAnsi="Yu Gothic" w:eastAsia="Yu Gothic"/>
          <w:i/>
          <w:color w:val="808080"/>
          <w:sz w:val="18"/>
        </w:rPr>
        <w:t>省エネ量(原油換算kl)・CO2削減量・電力削減量を記載(必ず公募要領を確認)。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項目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年間エネルギー削減量(原油換算kl)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CO2削減量(t-CO2)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電力削減量(kWh)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の予定月を記載。※交付決定前の発注は対象外。</w:t>
      </w:r>
    </w:p>
    <w:p>
      <w:r>
        <w:rPr>
          <w:rFonts w:ascii="Yu Gothic" w:hAnsi="Yu Gothic" w:eastAsia="Yu Gothic"/>
        </w:rPr>
        <w:t>[ 交付決定:    月 / 発注:    月 / 納品:    月 / 稼働:    月 / 実績報告:    月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TEL:058-294-7333  /  FAX:058-294-0020  /  Mail:lasermachine.com@gmail.com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補助金ポータル:https://www.laser-machine.com/std/hojokin.shtml</w:t>
      </w:r>
    </w:p>
    <w:p>
      <w:r>
        <w:rPr>
          <w:rFonts w:ascii="Yu Gothic" w:hAnsi="Yu Gothic" w:eastAsia="Yu Gothic"/>
        </w:rPr>
        <w:t>お申し込み:https://www.laser-machine.com/std/hojokin-form.shtml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